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901" w:rsidRDefault="003C7901" w:rsidP="003C7901">
      <w:pPr>
        <w:rPr>
          <w:rFonts w:eastAsia="Times New Roman"/>
          <w:sz w:val="27"/>
          <w:szCs w:val="27"/>
        </w:rPr>
      </w:pPr>
      <w:r w:rsidRPr="00765451">
        <w:fldChar w:fldCharType="begin"/>
      </w:r>
      <w:r w:rsidRPr="00765451">
        <w:instrText xml:space="preserve"> XE "ANEXOS" </w:instrText>
      </w:r>
      <w:r w:rsidRPr="00765451">
        <w:fldChar w:fldCharType="end"/>
      </w:r>
      <w:r w:rsidRPr="00765451">
        <w:fldChar w:fldCharType="begin"/>
      </w:r>
      <w:r w:rsidRPr="00765451">
        <w:instrText xml:space="preserve"> TC "ANEXOS" \l 1 </w:instrText>
      </w:r>
      <w:r w:rsidRPr="00765451">
        <w:fldChar w:fldCharType="end"/>
      </w:r>
      <w:r w:rsidRPr="00765451">
        <w:rPr>
          <w:rFonts w:eastAsia="Times New Roman"/>
          <w:b/>
          <w:bCs/>
          <w:sz w:val="27"/>
          <w:szCs w:val="27"/>
        </w:rPr>
        <w:t>Anexo I</w:t>
      </w:r>
      <w:r w:rsidRPr="00765451">
        <w:rPr>
          <w:rFonts w:eastAsia="Times New Roman"/>
          <w:sz w:val="27"/>
          <w:szCs w:val="27"/>
        </w:rPr>
        <w:t xml:space="preserve"> – Formulário Padrão de Identificação e Avaliação de Riscos</w:t>
      </w:r>
    </w:p>
    <w:p w:rsidR="003C7901" w:rsidRPr="00765451" w:rsidRDefault="003C7901" w:rsidP="003C7901">
      <w:pPr>
        <w:rPr>
          <w:rFonts w:eastAsia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59"/>
        <w:gridCol w:w="1200"/>
        <w:gridCol w:w="1181"/>
        <w:gridCol w:w="1218"/>
        <w:gridCol w:w="1204"/>
        <w:gridCol w:w="776"/>
        <w:gridCol w:w="703"/>
        <w:gridCol w:w="1452"/>
        <w:gridCol w:w="1898"/>
        <w:gridCol w:w="1470"/>
        <w:gridCol w:w="1046"/>
        <w:gridCol w:w="1258"/>
        <w:gridCol w:w="1470"/>
        <w:gridCol w:w="1682"/>
        <w:gridCol w:w="1682"/>
        <w:gridCol w:w="1258"/>
        <w:gridCol w:w="1790"/>
      </w:tblGrid>
      <w:tr w:rsidR="003C7901" w:rsidRPr="00765451" w:rsidTr="0090685D">
        <w:trPr>
          <w:trHeight w:val="600"/>
        </w:trPr>
        <w:tc>
          <w:tcPr>
            <w:tcW w:w="5000" w:type="pct"/>
            <w:gridSpan w:val="17"/>
          </w:tcPr>
          <w:p w:rsidR="003C7901" w:rsidRPr="00765451" w:rsidRDefault="003C7901" w:rsidP="0090685D">
            <w:pPr>
              <w:pStyle w:val="Contedodatabela"/>
              <w:spacing w:line="240" w:lineRule="auto"/>
              <w:jc w:val="both"/>
              <w:rPr>
                <w:rFonts w:ascii="Calibri" w:eastAsia="Times New Roman" w:hAnsi="Calibri"/>
              </w:rPr>
            </w:pPr>
            <w:r w:rsidRPr="00765451">
              <w:rPr>
                <w:rFonts w:ascii="Calibri" w:eastAsia="Times New Roman" w:hAnsi="Calibri"/>
                <w:b/>
                <w:bCs/>
              </w:rPr>
              <w:t>Tribunal Regional Eleitoral do Rio Grande do Norte</w:t>
            </w:r>
          </w:p>
          <w:p w:rsidR="003C7901" w:rsidRPr="00765451" w:rsidRDefault="003C7901" w:rsidP="0090685D">
            <w:pPr>
              <w:pStyle w:val="Contedodatabela"/>
              <w:spacing w:line="240" w:lineRule="auto"/>
              <w:jc w:val="both"/>
              <w:rPr>
                <w:rFonts w:ascii="Calibri" w:eastAsia="Times New Roman" w:hAnsi="Calibri"/>
              </w:rPr>
            </w:pPr>
            <w:r w:rsidRPr="00765451">
              <w:rPr>
                <w:rFonts w:ascii="Calibri" w:eastAsia="Times New Roman" w:hAnsi="Calibri"/>
              </w:rPr>
              <w:t>Formulário Padrão de Identificação e Avaliação de Riscos</w:t>
            </w:r>
          </w:p>
          <w:p w:rsidR="003C7901" w:rsidRPr="00765451" w:rsidRDefault="003C7901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</w:rPr>
            </w:pPr>
          </w:p>
        </w:tc>
      </w:tr>
      <w:tr w:rsidR="003C7901" w:rsidRPr="00765451" w:rsidTr="0090685D">
        <w:trPr>
          <w:trHeight w:val="533"/>
        </w:trPr>
        <w:tc>
          <w:tcPr>
            <w:tcW w:w="1516" w:type="pct"/>
            <w:gridSpan w:val="6"/>
          </w:tcPr>
          <w:p w:rsidR="003C7901" w:rsidRPr="00383E6E" w:rsidRDefault="003C7901" w:rsidP="0090685D">
            <w:pPr>
              <w:pStyle w:val="Contedodatabela"/>
              <w:spacing w:line="240" w:lineRule="auto"/>
              <w:rPr>
                <w:rFonts w:ascii="Calibri" w:eastAsia="Times New Roman" w:hAnsi="Calibri"/>
                <w:sz w:val="16"/>
                <w:szCs w:val="16"/>
              </w:rPr>
            </w:pPr>
            <w:r w:rsidRPr="00765451">
              <w:rPr>
                <w:rFonts w:ascii="Calibri" w:eastAsia="Times New Roman" w:hAnsi="Calibri"/>
                <w:sz w:val="16"/>
                <w:szCs w:val="16"/>
              </w:rPr>
              <w:t>Responsável:</w:t>
            </w:r>
          </w:p>
          <w:p w:rsidR="003C7901" w:rsidRPr="00383E6E" w:rsidRDefault="003C7901" w:rsidP="0090685D">
            <w:pPr>
              <w:pStyle w:val="Contedodatabela"/>
              <w:spacing w:line="240" w:lineRule="auto"/>
              <w:rPr>
                <w:rFonts w:ascii="Calibri" w:eastAsia="Times New Roman" w:hAnsi="Calibri"/>
                <w:sz w:val="16"/>
                <w:szCs w:val="16"/>
              </w:rPr>
            </w:pPr>
          </w:p>
        </w:tc>
        <w:tc>
          <w:tcPr>
            <w:tcW w:w="1457" w:type="pct"/>
            <w:gridSpan w:val="5"/>
          </w:tcPr>
          <w:p w:rsidR="003C7901" w:rsidRPr="00765451" w:rsidRDefault="003C7901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6"/>
                <w:szCs w:val="16"/>
              </w:rPr>
              <w:t>Aprovação:</w:t>
            </w:r>
          </w:p>
          <w:p w:rsidR="003C7901" w:rsidRPr="00E2232C" w:rsidRDefault="003C7901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51" w:type="pct"/>
            <w:gridSpan w:val="4"/>
          </w:tcPr>
          <w:p w:rsidR="003C7901" w:rsidRPr="00765451" w:rsidRDefault="003C7901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6"/>
                <w:szCs w:val="16"/>
              </w:rPr>
              <w:t>Vigência:</w:t>
            </w:r>
          </w:p>
          <w:p w:rsidR="003C7901" w:rsidRPr="00E2232C" w:rsidRDefault="003C7901" w:rsidP="0090685D">
            <w:pPr>
              <w:pStyle w:val="Contedodatabela"/>
              <w:spacing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6" w:type="pct"/>
            <w:gridSpan w:val="2"/>
          </w:tcPr>
          <w:p w:rsidR="003C7901" w:rsidRDefault="003C7901" w:rsidP="0090685D">
            <w:pPr>
              <w:rPr>
                <w:rFonts w:eastAsia="Times New Roman"/>
                <w:sz w:val="16"/>
                <w:szCs w:val="16"/>
              </w:rPr>
            </w:pPr>
            <w:r w:rsidRPr="00765451">
              <w:rPr>
                <w:rFonts w:eastAsia="Times New Roman"/>
                <w:sz w:val="16"/>
                <w:szCs w:val="16"/>
              </w:rPr>
              <w:t>Versão:</w:t>
            </w:r>
          </w:p>
          <w:p w:rsidR="003C7901" w:rsidRPr="00E2232C" w:rsidRDefault="003C7901" w:rsidP="0090685D">
            <w:pPr>
              <w:rPr>
                <w:sz w:val="20"/>
                <w:szCs w:val="20"/>
              </w:rPr>
            </w:pPr>
          </w:p>
        </w:tc>
      </w:tr>
      <w:tr w:rsidR="003C7901" w:rsidRPr="00765451" w:rsidTr="0090685D">
        <w:tc>
          <w:tcPr>
            <w:tcW w:w="5000" w:type="pct"/>
            <w:gridSpan w:val="17"/>
            <w:shd w:val="clear" w:color="auto" w:fill="EEEEEE"/>
          </w:tcPr>
          <w:p w:rsidR="003C7901" w:rsidRPr="00765451" w:rsidRDefault="003C7901" w:rsidP="0090685D">
            <w:r w:rsidRPr="00765451">
              <w:rPr>
                <w:rFonts w:eastAsia="Times New Roman"/>
                <w:b/>
                <w:bCs/>
              </w:rPr>
              <w:t>Formulário Padrão de Identificação e Avaliação de Riscos</w:t>
            </w:r>
          </w:p>
        </w:tc>
      </w:tr>
      <w:tr w:rsidR="003C7901" w:rsidRPr="00F95E5E" w:rsidTr="0090685D">
        <w:tc>
          <w:tcPr>
            <w:tcW w:w="807" w:type="pct"/>
            <w:gridSpan w:val="3"/>
          </w:tcPr>
          <w:p w:rsidR="003C7901" w:rsidRPr="00F95E5E" w:rsidRDefault="003C7901" w:rsidP="0090685D">
            <w:pPr>
              <w:pStyle w:val="Contedodatabela"/>
              <w:jc w:val="both"/>
              <w:rPr>
                <w:rFonts w:ascii="Calibri" w:hAnsi="Calibri"/>
              </w:rPr>
            </w:pPr>
            <w:r w:rsidRPr="00E2232C">
              <w:rPr>
                <w:rFonts w:ascii="Calibri" w:eastAsia="Times New Roman" w:hAnsi="Calibri"/>
                <w:b/>
                <w:bCs/>
                <w:sz w:val="16"/>
                <w:szCs w:val="16"/>
              </w:rPr>
              <w:t>Data:</w:t>
            </w:r>
            <w:r w:rsidRPr="00F95E5E">
              <w:rPr>
                <w:rFonts w:ascii="Calibri" w:eastAsia="Times New Roman" w:hAnsi="Calibri"/>
                <w:b/>
                <w:bCs/>
              </w:rPr>
              <w:t xml:space="preserve"> </w:t>
            </w:r>
          </w:p>
        </w:tc>
        <w:tc>
          <w:tcPr>
            <w:tcW w:w="1608" w:type="pct"/>
            <w:gridSpan w:val="6"/>
          </w:tcPr>
          <w:p w:rsidR="003C7901" w:rsidRPr="00F95E5E" w:rsidRDefault="003C7901" w:rsidP="0090685D">
            <w:pPr>
              <w:pStyle w:val="Contedodatabela"/>
              <w:jc w:val="both"/>
              <w:rPr>
                <w:rFonts w:ascii="Calibri" w:hAnsi="Calibri"/>
              </w:rPr>
            </w:pPr>
            <w:r w:rsidRPr="00E2232C">
              <w:rPr>
                <w:rFonts w:ascii="Calibri" w:eastAsia="Times New Roman" w:hAnsi="Calibri"/>
                <w:b/>
                <w:bCs/>
                <w:sz w:val="16"/>
                <w:szCs w:val="16"/>
              </w:rPr>
              <w:t>Unidade:</w:t>
            </w:r>
            <w:r w:rsidRPr="00E2232C">
              <w:rPr>
                <w:rFonts w:ascii="Calibri" w:eastAsia="Times New Roman" w:hAnsi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85" w:type="pct"/>
            <w:gridSpan w:val="8"/>
          </w:tcPr>
          <w:p w:rsidR="003C7901" w:rsidRPr="00F95E5E" w:rsidRDefault="003C7901" w:rsidP="0090685D">
            <w:pPr>
              <w:pStyle w:val="Contedodatabela"/>
              <w:jc w:val="both"/>
              <w:rPr>
                <w:rFonts w:ascii="Calibri" w:hAnsi="Calibri"/>
              </w:rPr>
            </w:pPr>
            <w:r w:rsidRPr="00E2232C">
              <w:rPr>
                <w:rFonts w:ascii="Calibri" w:eastAsia="Times New Roman" w:hAnsi="Calibri"/>
                <w:b/>
                <w:bCs/>
                <w:sz w:val="16"/>
                <w:szCs w:val="16"/>
              </w:rPr>
              <w:t>Gestor de Riscos:</w:t>
            </w:r>
            <w:r w:rsidRPr="00F95E5E">
              <w:rPr>
                <w:rFonts w:ascii="Calibri" w:eastAsia="Times New Roman" w:hAnsi="Calibri"/>
                <w:b/>
                <w:bCs/>
              </w:rPr>
              <w:t xml:space="preserve"> </w:t>
            </w:r>
          </w:p>
        </w:tc>
      </w:tr>
      <w:tr w:rsidR="003C7901" w:rsidRPr="00765451" w:rsidTr="0090685D">
        <w:trPr>
          <w:cantSplit/>
        </w:trPr>
        <w:tc>
          <w:tcPr>
            <w:tcW w:w="279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Risco</w:t>
            </w:r>
          </w:p>
        </w:tc>
        <w:tc>
          <w:tcPr>
            <w:tcW w:w="266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Causa(s)</w:t>
            </w:r>
          </w:p>
        </w:tc>
        <w:tc>
          <w:tcPr>
            <w:tcW w:w="262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eastAsia="Times New Roman" w:hAnsi="Calibri"/>
                <w:sz w:val="18"/>
                <w:szCs w:val="18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Classe(s</w:t>
            </w:r>
            <w:proofErr w:type="gramStart"/>
            <w:r w:rsidRPr="00765451">
              <w:rPr>
                <w:rFonts w:ascii="Calibri" w:eastAsia="Times New Roman" w:hAnsi="Calibri"/>
                <w:sz w:val="18"/>
                <w:szCs w:val="18"/>
              </w:rPr>
              <w:t>)</w:t>
            </w:r>
            <w:proofErr w:type="gramEnd"/>
            <w:r w:rsidRPr="00765451">
              <w:rPr>
                <w:rStyle w:val="Refdenotaderodap"/>
                <w:rFonts w:ascii="Calibri" w:eastAsia="Times New Roman" w:hAnsi="Calibri"/>
                <w:sz w:val="18"/>
                <w:szCs w:val="18"/>
              </w:rPr>
              <w:footnoteReference w:customMarkFollows="1" w:id="1"/>
              <w:t>1</w:t>
            </w:r>
          </w:p>
        </w:tc>
        <w:tc>
          <w:tcPr>
            <w:tcW w:w="865" w:type="pct"/>
            <w:gridSpan w:val="4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Avaliação Riscos Inerentes</w:t>
            </w:r>
          </w:p>
        </w:tc>
        <w:tc>
          <w:tcPr>
            <w:tcW w:w="322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Categoria de Priorização</w:t>
            </w:r>
          </w:p>
        </w:tc>
        <w:tc>
          <w:tcPr>
            <w:tcW w:w="421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Consequência</w:t>
            </w:r>
          </w:p>
        </w:tc>
        <w:tc>
          <w:tcPr>
            <w:tcW w:w="326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Tratamento</w:t>
            </w:r>
          </w:p>
        </w:tc>
        <w:tc>
          <w:tcPr>
            <w:tcW w:w="837" w:type="pct"/>
            <w:gridSpan w:val="3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Avaliação Riscos residuais</w:t>
            </w:r>
          </w:p>
        </w:tc>
        <w:tc>
          <w:tcPr>
            <w:tcW w:w="373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Categoria de Priorização</w:t>
            </w:r>
          </w:p>
        </w:tc>
        <w:tc>
          <w:tcPr>
            <w:tcW w:w="373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Plano de Contingência</w:t>
            </w:r>
          </w:p>
        </w:tc>
        <w:tc>
          <w:tcPr>
            <w:tcW w:w="279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Área Funcional Responsável</w:t>
            </w:r>
          </w:p>
        </w:tc>
        <w:tc>
          <w:tcPr>
            <w:tcW w:w="397" w:type="pct"/>
            <w:vMerge w:val="restar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Proprietário do Risco</w:t>
            </w:r>
          </w:p>
        </w:tc>
      </w:tr>
      <w:tr w:rsidR="003C7901" w:rsidRPr="00765451" w:rsidTr="0090685D">
        <w:trPr>
          <w:cantSplit/>
        </w:trPr>
        <w:tc>
          <w:tcPr>
            <w:tcW w:w="279" w:type="pct"/>
            <w:vMerge/>
            <w:shd w:val="clear" w:color="auto" w:fill="EEEEEE"/>
            <w:vAlign w:val="center"/>
          </w:tcPr>
          <w:p w:rsidR="003C7901" w:rsidRPr="00765451" w:rsidRDefault="003C7901" w:rsidP="0090685D"/>
        </w:tc>
        <w:tc>
          <w:tcPr>
            <w:tcW w:w="266" w:type="pct"/>
            <w:vMerge/>
            <w:shd w:val="clear" w:color="auto" w:fill="EEEEEE"/>
            <w:vAlign w:val="center"/>
          </w:tcPr>
          <w:p w:rsidR="003C7901" w:rsidRPr="00765451" w:rsidRDefault="003C7901" w:rsidP="0090685D"/>
        </w:tc>
        <w:tc>
          <w:tcPr>
            <w:tcW w:w="262" w:type="pct"/>
            <w:vMerge/>
            <w:shd w:val="clear" w:color="auto" w:fill="EEEEEE"/>
            <w:vAlign w:val="center"/>
          </w:tcPr>
          <w:p w:rsidR="003C7901" w:rsidRPr="00765451" w:rsidRDefault="003C7901" w:rsidP="0090685D"/>
        </w:tc>
        <w:tc>
          <w:tcPr>
            <w:tcW w:w="270" w:type="pc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eastAsia="Times New Roman" w:hAnsi="Calibri"/>
                <w:sz w:val="18"/>
                <w:szCs w:val="18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Impacto</w:t>
            </w:r>
            <w:r w:rsidRPr="00765451">
              <w:rPr>
                <w:rStyle w:val="Refdenotaderodap"/>
                <w:rFonts w:ascii="Calibri" w:eastAsia="Times New Roman" w:hAnsi="Calibri"/>
                <w:sz w:val="18"/>
                <w:szCs w:val="18"/>
              </w:rPr>
              <w:footnoteReference w:customMarkFollows="1" w:id="2"/>
              <w:t>2</w:t>
            </w:r>
          </w:p>
        </w:tc>
        <w:tc>
          <w:tcPr>
            <w:tcW w:w="267" w:type="pc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eastAsia="Times New Roman" w:hAnsi="Calibri"/>
                <w:sz w:val="18"/>
                <w:szCs w:val="18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Proba-bilidade</w:t>
            </w:r>
            <w:r w:rsidRPr="00765451">
              <w:rPr>
                <w:rStyle w:val="Refdenotaderodap"/>
                <w:rFonts w:ascii="Calibri" w:eastAsia="Times New Roman" w:hAnsi="Calibri"/>
                <w:sz w:val="18"/>
                <w:szCs w:val="18"/>
              </w:rPr>
              <w:footnoteReference w:customMarkFollows="1" w:id="3"/>
              <w:t>3</w:t>
            </w:r>
          </w:p>
        </w:tc>
        <w:tc>
          <w:tcPr>
            <w:tcW w:w="328" w:type="pct"/>
            <w:gridSpan w:val="2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Nível de Risco (</w:t>
            </w:r>
            <w:proofErr w:type="spellStart"/>
            <w:proofErr w:type="gramStart"/>
            <w:r w:rsidRPr="00765451">
              <w:rPr>
                <w:rFonts w:ascii="Calibri" w:eastAsia="Times New Roman" w:hAnsi="Calibri"/>
                <w:sz w:val="18"/>
                <w:szCs w:val="18"/>
              </w:rPr>
              <w:t>IxP</w:t>
            </w:r>
            <w:proofErr w:type="spellEnd"/>
            <w:proofErr w:type="gramEnd"/>
            <w:r w:rsidRPr="00765451">
              <w:rPr>
                <w:rFonts w:ascii="Calibri" w:eastAsia="Times New Roman" w:hAnsi="Calibri"/>
                <w:sz w:val="18"/>
                <w:szCs w:val="18"/>
              </w:rPr>
              <w:t>)</w:t>
            </w:r>
            <w:r w:rsidRPr="00765451">
              <w:rPr>
                <w:rStyle w:val="Refdenotaderodap"/>
                <w:rFonts w:ascii="Calibri" w:eastAsia="Times New Roman" w:hAnsi="Calibri"/>
                <w:sz w:val="18"/>
                <w:szCs w:val="18"/>
              </w:rPr>
              <w:footnoteReference w:customMarkFollows="1" w:id="4"/>
              <w:t>4</w:t>
            </w:r>
          </w:p>
        </w:tc>
        <w:tc>
          <w:tcPr>
            <w:tcW w:w="322" w:type="pct"/>
            <w:vMerge/>
            <w:shd w:val="clear" w:color="auto" w:fill="EEEEEE"/>
            <w:vAlign w:val="center"/>
          </w:tcPr>
          <w:p w:rsidR="003C7901" w:rsidRPr="00765451" w:rsidRDefault="003C7901" w:rsidP="0090685D"/>
        </w:tc>
        <w:tc>
          <w:tcPr>
            <w:tcW w:w="421" w:type="pct"/>
            <w:vMerge/>
            <w:shd w:val="clear" w:color="auto" w:fill="EEEEEE"/>
            <w:vAlign w:val="center"/>
          </w:tcPr>
          <w:p w:rsidR="003C7901" w:rsidRPr="00765451" w:rsidRDefault="003C7901" w:rsidP="0090685D"/>
        </w:tc>
        <w:tc>
          <w:tcPr>
            <w:tcW w:w="326" w:type="pct"/>
            <w:vMerge/>
            <w:shd w:val="clear" w:color="auto" w:fill="EEEEEE"/>
            <w:vAlign w:val="center"/>
          </w:tcPr>
          <w:p w:rsidR="003C7901" w:rsidRPr="00765451" w:rsidRDefault="003C7901" w:rsidP="0090685D"/>
        </w:tc>
        <w:tc>
          <w:tcPr>
            <w:tcW w:w="232" w:type="pc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Impacto</w:t>
            </w:r>
          </w:p>
        </w:tc>
        <w:tc>
          <w:tcPr>
            <w:tcW w:w="279" w:type="pc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Probabilidade</w:t>
            </w:r>
          </w:p>
        </w:tc>
        <w:tc>
          <w:tcPr>
            <w:tcW w:w="326" w:type="pct"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  <w:r w:rsidRPr="00765451">
              <w:rPr>
                <w:rFonts w:ascii="Calibri" w:eastAsia="Times New Roman" w:hAnsi="Calibri"/>
                <w:sz w:val="18"/>
                <w:szCs w:val="18"/>
              </w:rPr>
              <w:t>Nível de Risco (</w:t>
            </w:r>
            <w:proofErr w:type="spellStart"/>
            <w:proofErr w:type="gramStart"/>
            <w:r w:rsidRPr="00765451">
              <w:rPr>
                <w:rFonts w:ascii="Calibri" w:eastAsia="Times New Roman" w:hAnsi="Calibri"/>
                <w:sz w:val="18"/>
                <w:szCs w:val="18"/>
              </w:rPr>
              <w:t>IxP</w:t>
            </w:r>
            <w:proofErr w:type="spellEnd"/>
            <w:proofErr w:type="gramEnd"/>
            <w:r w:rsidRPr="00765451">
              <w:rPr>
                <w:rFonts w:ascii="Calibri" w:eastAsia="Times New Roman" w:hAnsi="Calibri"/>
                <w:sz w:val="18"/>
                <w:szCs w:val="18"/>
              </w:rPr>
              <w:t>)</w:t>
            </w:r>
          </w:p>
        </w:tc>
        <w:tc>
          <w:tcPr>
            <w:tcW w:w="373" w:type="pct"/>
            <w:vMerge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</w:p>
        </w:tc>
        <w:tc>
          <w:tcPr>
            <w:tcW w:w="373" w:type="pct"/>
            <w:vMerge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</w:p>
        </w:tc>
        <w:tc>
          <w:tcPr>
            <w:tcW w:w="279" w:type="pct"/>
            <w:vMerge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</w:p>
        </w:tc>
        <w:tc>
          <w:tcPr>
            <w:tcW w:w="397" w:type="pct"/>
            <w:vMerge/>
            <w:shd w:val="clear" w:color="auto" w:fill="EEEEEE"/>
            <w:vAlign w:val="center"/>
          </w:tcPr>
          <w:p w:rsidR="003C7901" w:rsidRPr="00765451" w:rsidRDefault="003C7901" w:rsidP="0090685D">
            <w:pPr>
              <w:pStyle w:val="Contedodatabela"/>
              <w:jc w:val="center"/>
              <w:rPr>
                <w:rFonts w:ascii="Calibri" w:hAnsi="Calibri"/>
              </w:rPr>
            </w:pPr>
          </w:p>
        </w:tc>
      </w:tr>
      <w:tr w:rsidR="003C7901" w:rsidRPr="007F2F62" w:rsidTr="0090685D"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7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  <w:gridSpan w:val="2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1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C7901" w:rsidRPr="007F2F62" w:rsidTr="0090685D"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7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  <w:gridSpan w:val="2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1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C7901" w:rsidRPr="007F2F62" w:rsidTr="0090685D"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7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" w:type="pct"/>
            <w:gridSpan w:val="2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1" w:type="pct"/>
          </w:tcPr>
          <w:p w:rsidR="003C7901" w:rsidRPr="007F2F62" w:rsidRDefault="003C7901" w:rsidP="0090685D">
            <w:pPr>
              <w:pStyle w:val="Contedodatabela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2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pct"/>
          </w:tcPr>
          <w:p w:rsidR="003C7901" w:rsidRPr="007F2F62" w:rsidRDefault="003C7901" w:rsidP="0090685D">
            <w:pPr>
              <w:pStyle w:val="Contedodatabela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C7901" w:rsidRDefault="003C7901" w:rsidP="003C7901">
      <w:pPr>
        <w:pStyle w:val="Corpodetexto"/>
        <w:spacing w:before="3"/>
        <w:rPr>
          <w:b/>
          <w:lang w:val="pt-BR"/>
        </w:rPr>
      </w:pPr>
    </w:p>
    <w:p w:rsidR="003C7901" w:rsidRPr="0092435C" w:rsidRDefault="003C7901" w:rsidP="003C7901">
      <w:pPr>
        <w:pStyle w:val="Corpodetexto"/>
        <w:spacing w:before="3"/>
        <w:rPr>
          <w:lang w:val="pt-BR"/>
        </w:rPr>
      </w:pPr>
      <w:r w:rsidRPr="0092435C">
        <w:rPr>
          <w:lang w:val="pt-BR"/>
        </w:rPr>
        <w:t>Referências na Cadeia de Valor ou Projeto/Programa:</w:t>
      </w:r>
    </w:p>
    <w:p w:rsidR="003C7901" w:rsidRPr="0092435C" w:rsidRDefault="003C7901" w:rsidP="003C7901">
      <w:pPr>
        <w:pStyle w:val="Corpodetexto"/>
        <w:spacing w:before="3"/>
        <w:rPr>
          <w:lang w:val="pt-BR"/>
        </w:rPr>
      </w:pPr>
      <w:r w:rsidRPr="0092435C">
        <w:rPr>
          <w:lang w:val="pt-BR"/>
        </w:rPr>
        <w:t>- Listar as atividades ou ações/etapas do projeto/programa</w:t>
      </w:r>
    </w:p>
    <w:p w:rsidR="003C7901" w:rsidRPr="001B6D65" w:rsidRDefault="003C7901" w:rsidP="003C7901">
      <w:pPr>
        <w:pStyle w:val="Corpodetexto"/>
        <w:rPr>
          <w:b/>
          <w:sz w:val="20"/>
          <w:lang w:val="pt-BR"/>
        </w:rPr>
      </w:pPr>
    </w:p>
    <w:p w:rsidR="005837B3" w:rsidRPr="003C7901" w:rsidRDefault="005837B3">
      <w:pPr>
        <w:rPr>
          <w:lang w:val="pt-BR"/>
        </w:rPr>
      </w:pPr>
      <w:bookmarkStart w:id="0" w:name="_GoBack"/>
      <w:bookmarkEnd w:id="0"/>
    </w:p>
    <w:sectPr w:rsidR="005837B3" w:rsidRPr="003C7901" w:rsidSect="003C7901">
      <w:pgSz w:w="23814" w:h="16839" w:orient="landscape" w:code="8"/>
      <w:pgMar w:top="1100" w:right="697" w:bottom="136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01" w:rsidRDefault="003C7901" w:rsidP="003C7901">
      <w:r>
        <w:separator/>
      </w:r>
    </w:p>
  </w:endnote>
  <w:endnote w:type="continuationSeparator" w:id="0">
    <w:p w:rsidR="003C7901" w:rsidRDefault="003C7901" w:rsidP="003C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01" w:rsidRDefault="003C7901" w:rsidP="003C7901">
      <w:r>
        <w:separator/>
      </w:r>
    </w:p>
  </w:footnote>
  <w:footnote w:type="continuationSeparator" w:id="0">
    <w:p w:rsidR="003C7901" w:rsidRDefault="003C7901" w:rsidP="003C7901">
      <w:r>
        <w:continuationSeparator/>
      </w:r>
    </w:p>
  </w:footnote>
  <w:footnote w:id="1">
    <w:p w:rsidR="003C7901" w:rsidRDefault="003C7901" w:rsidP="003C7901">
      <w:pPr>
        <w:jc w:val="both"/>
      </w:pPr>
    </w:p>
  </w:footnote>
  <w:footnote w:id="2">
    <w:p w:rsidR="003C7901" w:rsidRDefault="003C7901" w:rsidP="003C7901">
      <w:pPr>
        <w:pStyle w:val="Textodenotaderodap"/>
        <w:rPr>
          <w:rStyle w:val="Caracteresdenotaderodap"/>
          <w:rFonts w:ascii="Garamond" w:hAnsi="Garamond"/>
        </w:rPr>
      </w:pPr>
      <w:r>
        <w:rPr>
          <w:rStyle w:val="Caracteresdenotaderodap"/>
          <w:rFonts w:ascii="Garamond" w:hAnsi="Garamond"/>
        </w:rPr>
        <w:t>1</w:t>
      </w:r>
      <w:r>
        <w:rPr>
          <w:rStyle w:val="Caracteresdenotaderodap"/>
          <w:rFonts w:ascii="Garamond" w:hAnsi="Garamond"/>
        </w:rPr>
        <w:tab/>
        <w:t>Utilizar parâmetros constantes da tabela 4 (p. 22).</w:t>
      </w:r>
    </w:p>
    <w:p w:rsidR="003C7901" w:rsidRPr="002116B1" w:rsidRDefault="003C7901" w:rsidP="003C7901">
      <w:pPr>
        <w:pStyle w:val="Textodenotaderodap"/>
        <w:rPr>
          <w:rFonts w:ascii="Garamond" w:hAnsi="Garamond"/>
        </w:rPr>
      </w:pPr>
      <w:r>
        <w:rPr>
          <w:rStyle w:val="Caracteresdenotaderodap"/>
          <w:rFonts w:ascii="Garamond" w:hAnsi="Garamond"/>
        </w:rPr>
        <w:t>2</w:t>
      </w:r>
      <w:r>
        <w:rPr>
          <w:rFonts w:ascii="Garamond" w:hAnsi="Garamond"/>
        </w:rPr>
        <w:tab/>
        <w:t>Utilizar parâmetros constantes da tabela 3 (p. 20</w:t>
      </w:r>
      <w:r w:rsidRPr="002116B1">
        <w:rPr>
          <w:rFonts w:ascii="Garamond" w:hAnsi="Garamond"/>
        </w:rPr>
        <w:t>).</w:t>
      </w:r>
    </w:p>
  </w:footnote>
  <w:footnote w:id="3">
    <w:p w:rsidR="003C7901" w:rsidRDefault="003C7901" w:rsidP="003C7901">
      <w:pPr>
        <w:pStyle w:val="Textodenotaderodap"/>
      </w:pPr>
      <w:r>
        <w:rPr>
          <w:rStyle w:val="Caracteresdenotaderodap"/>
          <w:rFonts w:ascii="Garamond" w:hAnsi="Garamond"/>
        </w:rPr>
        <w:t>3</w:t>
      </w:r>
      <w:r>
        <w:rPr>
          <w:rFonts w:ascii="Garamond" w:hAnsi="Garamond"/>
        </w:rPr>
        <w:tab/>
        <w:t>Utilizar parâmetros constantes da tabela 2 (p. 20).</w:t>
      </w:r>
    </w:p>
  </w:footnote>
  <w:footnote w:id="4">
    <w:p w:rsidR="003C7901" w:rsidRPr="005F1F2F" w:rsidRDefault="003C7901" w:rsidP="003C7901">
      <w:pPr>
        <w:pStyle w:val="Textodenotaderodap"/>
        <w:rPr>
          <w:rStyle w:val="Caracteresdenotaderodap"/>
          <w:rFonts w:ascii="Garamond" w:hAnsi="Garamond"/>
        </w:rPr>
      </w:pPr>
      <w:r w:rsidRPr="005F1F2F">
        <w:rPr>
          <w:rStyle w:val="Caracteresdenotaderodap"/>
          <w:rFonts w:ascii="Garamond" w:hAnsi="Garamond"/>
        </w:rPr>
        <w:t>4</w:t>
      </w:r>
      <w:r w:rsidRPr="005F1F2F">
        <w:rPr>
          <w:rStyle w:val="Caracteresdenotaderodap"/>
          <w:rFonts w:ascii="Garamond" w:hAnsi="Garamond"/>
        </w:rPr>
        <w:tab/>
      </w:r>
      <w:r>
        <w:rPr>
          <w:rStyle w:val="Caracteresdenotaderodap"/>
          <w:rFonts w:ascii="Garamond" w:hAnsi="Garamond"/>
        </w:rPr>
        <w:t>Utilizar parâmetros constantes da tabela 1 (p. 16).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01"/>
    <w:rsid w:val="003C7901"/>
    <w:rsid w:val="0058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C79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7901"/>
  </w:style>
  <w:style w:type="character" w:customStyle="1" w:styleId="CorpodetextoChar">
    <w:name w:val="Corpo de texto Char"/>
    <w:basedOn w:val="Fontepargpadro"/>
    <w:link w:val="Corpodetexto"/>
    <w:uiPriority w:val="1"/>
    <w:rsid w:val="003C7901"/>
    <w:rPr>
      <w:rFonts w:ascii="Calibri" w:eastAsia="Calibri" w:hAnsi="Calibri" w:cs="Calibri"/>
      <w:lang w:val="pt-PT"/>
    </w:rPr>
  </w:style>
  <w:style w:type="paragraph" w:styleId="Textodenotaderodap">
    <w:name w:val="footnote text"/>
    <w:basedOn w:val="Normal"/>
    <w:link w:val="TextodenotaderodapChar"/>
    <w:semiHidden/>
    <w:unhideWhenUsed/>
    <w:rsid w:val="003C790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C7901"/>
    <w:rPr>
      <w:rFonts w:ascii="Calibri" w:eastAsia="Calibri" w:hAnsi="Calibri" w:cs="Calibri"/>
      <w:sz w:val="20"/>
      <w:szCs w:val="20"/>
      <w:lang w:val="pt-PT"/>
    </w:rPr>
  </w:style>
  <w:style w:type="character" w:styleId="Refdenotaderodap">
    <w:name w:val="footnote reference"/>
    <w:basedOn w:val="Fontepargpadro"/>
    <w:semiHidden/>
    <w:unhideWhenUsed/>
    <w:rsid w:val="003C7901"/>
    <w:rPr>
      <w:vertAlign w:val="superscript"/>
    </w:rPr>
  </w:style>
  <w:style w:type="character" w:customStyle="1" w:styleId="Caracteresdenotaderodap">
    <w:name w:val="Caracteres de nota de rodapé"/>
    <w:rsid w:val="003C7901"/>
  </w:style>
  <w:style w:type="paragraph" w:customStyle="1" w:styleId="Contedodatabela">
    <w:name w:val="Conteúdo da tabela"/>
    <w:basedOn w:val="Normal"/>
    <w:rsid w:val="003C7901"/>
    <w:pPr>
      <w:suppressLineNumbers/>
      <w:suppressAutoHyphens/>
      <w:autoSpaceDE/>
      <w:autoSpaceDN/>
      <w:spacing w:line="288" w:lineRule="auto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C79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7901"/>
  </w:style>
  <w:style w:type="character" w:customStyle="1" w:styleId="CorpodetextoChar">
    <w:name w:val="Corpo de texto Char"/>
    <w:basedOn w:val="Fontepargpadro"/>
    <w:link w:val="Corpodetexto"/>
    <w:uiPriority w:val="1"/>
    <w:rsid w:val="003C7901"/>
    <w:rPr>
      <w:rFonts w:ascii="Calibri" w:eastAsia="Calibri" w:hAnsi="Calibri" w:cs="Calibri"/>
      <w:lang w:val="pt-PT"/>
    </w:rPr>
  </w:style>
  <w:style w:type="paragraph" w:styleId="Textodenotaderodap">
    <w:name w:val="footnote text"/>
    <w:basedOn w:val="Normal"/>
    <w:link w:val="TextodenotaderodapChar"/>
    <w:semiHidden/>
    <w:unhideWhenUsed/>
    <w:rsid w:val="003C790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C7901"/>
    <w:rPr>
      <w:rFonts w:ascii="Calibri" w:eastAsia="Calibri" w:hAnsi="Calibri" w:cs="Calibri"/>
      <w:sz w:val="20"/>
      <w:szCs w:val="20"/>
      <w:lang w:val="pt-PT"/>
    </w:rPr>
  </w:style>
  <w:style w:type="character" w:styleId="Refdenotaderodap">
    <w:name w:val="footnote reference"/>
    <w:basedOn w:val="Fontepargpadro"/>
    <w:semiHidden/>
    <w:unhideWhenUsed/>
    <w:rsid w:val="003C7901"/>
    <w:rPr>
      <w:vertAlign w:val="superscript"/>
    </w:rPr>
  </w:style>
  <w:style w:type="character" w:customStyle="1" w:styleId="Caracteresdenotaderodap">
    <w:name w:val="Caracteres de nota de rodapé"/>
    <w:rsid w:val="003C7901"/>
  </w:style>
  <w:style w:type="paragraph" w:customStyle="1" w:styleId="Contedodatabela">
    <w:name w:val="Conteúdo da tabela"/>
    <w:basedOn w:val="Normal"/>
    <w:rsid w:val="003C7901"/>
    <w:pPr>
      <w:suppressLineNumbers/>
      <w:suppressAutoHyphens/>
      <w:autoSpaceDE/>
      <w:autoSpaceDN/>
      <w:spacing w:line="288" w:lineRule="auto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Justica Eleitoral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Iaperi Gabor Damasceno Arbocz</dc:creator>
  <cp:lastModifiedBy>Iaperi Gabor Damasceno Arbocz</cp:lastModifiedBy>
  <cp:revision>1</cp:revision>
  <dcterms:created xsi:type="dcterms:W3CDTF">2022-01-11T17:19:00Z</dcterms:created>
  <dcterms:modified xsi:type="dcterms:W3CDTF">2022-01-11T17:23:00Z</dcterms:modified>
</cp:coreProperties>
</file>